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0053" w:rsidRDefault="00836F80" w:rsidP="00C32F23">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C32F23">
        <w:t xml:space="preserve"> </w:t>
      </w:r>
      <w:r w:rsidR="001B382C">
        <w:t>o</w:t>
      </w:r>
      <w:r w:rsidR="00C32F23">
        <w:t xml:space="preserve"> grubości 25 cm – konstrukcja nawierzchni jezdni</w:t>
      </w:r>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 xml:space="preserve">Ustalenia zawarte w niniejszej specyfikacji dotyczą zasad prowadzenia robót związanych z wykonaniem warstwy </w:t>
      </w:r>
      <w:r w:rsidR="001B0053">
        <w:t xml:space="preserve">podbudowy z kruszywa łamanego </w:t>
      </w:r>
      <w:r>
        <w:t>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lastRenderedPageBreak/>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C66CD9" w:rsidRDefault="00C66CD9" w:rsidP="00C66CD9">
      <w:pPr>
        <w:pStyle w:val="Styl1"/>
      </w:pPr>
      <w:r>
        <w:t xml:space="preserve">Przed przystąpieniem do wykonania warstwy </w:t>
      </w:r>
      <w:r>
        <w:t>podbudowy</w:t>
      </w:r>
      <w:r>
        <w:t xml:space="preserve"> </w:t>
      </w:r>
      <w:r>
        <w:t xml:space="preserve">z kruszywa łamanego </w:t>
      </w:r>
      <w:bookmarkStart w:id="51" w:name="_GoBack"/>
      <w:bookmarkEnd w:id="51"/>
      <w:r>
        <w:t>Wykonawca wykona odcinek próbny w celu uściślenia organizacji wytwarzania i układania oraz ustalenia warunków zagęszczania i uzyskiwanych parametrów jakościowych.</w:t>
      </w:r>
    </w:p>
    <w:p w:rsidR="00C66CD9" w:rsidRDefault="00C66CD9" w:rsidP="00C66CD9">
      <w:pPr>
        <w:pStyle w:val="Styl1"/>
      </w:pPr>
      <w:r>
        <w:t>Odcinek próbny powinien być zlokalizowany w miejscu uzgodnionym z Inżynierem. Powierzchnia odcinka próbneg</w:t>
      </w:r>
      <w:r>
        <w:t>o powinna wynosić co najmniej 48</w:t>
      </w:r>
      <w:r>
        <w:t>0 m</w:t>
      </w:r>
      <w:r>
        <w:rPr>
          <w:vertAlign w:val="superscript"/>
        </w:rPr>
        <w:t>2</w:t>
      </w:r>
      <w:r>
        <w:t xml:space="preserve">. Na odcinku próbnym Wykonawca powinien użyć takich materiałów oraz sprzętu jakie zamierza stosować do wykonania warstwy </w:t>
      </w:r>
      <w:r>
        <w:t>podbudowy z kruszywa łamanego.</w:t>
      </w:r>
    </w:p>
    <w:p w:rsidR="00C66CD9" w:rsidRPr="00AE36A6" w:rsidRDefault="00C66CD9" w:rsidP="00C66CD9">
      <w:pPr>
        <w:pStyle w:val="Styl1"/>
      </w:pPr>
      <w:r>
        <w:t>Wykonawca może przystąpić do realizacji robót po zaakceptowaniu przez Inżyniera technologii wbudowania i zagęszczania oraz wyników z odcinka próbnego</w:t>
      </w:r>
      <w:r w:rsidRPr="00AE36A6">
        <w:t>.</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lastRenderedPageBreak/>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59622167"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59622168"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lastRenderedPageBreak/>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lastRenderedPageBreak/>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lastRenderedPageBreak/>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lastRenderedPageBreak/>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4F426A">
      <w:headerReference w:type="even" r:id="rId11"/>
      <w:headerReference w:type="default" r:id="rId12"/>
      <w:footerReference w:type="even"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1F6" w:rsidRDefault="00AF01F6" w:rsidP="00836F80">
      <w:pPr>
        <w:spacing w:before="0" w:after="0"/>
      </w:pPr>
      <w:r>
        <w:separator/>
      </w:r>
    </w:p>
  </w:endnote>
  <w:endnote w:type="continuationSeparator" w:id="0">
    <w:p w:rsidR="00AF01F6" w:rsidRDefault="00AF01F6"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C66CD9">
          <w:rPr>
            <w:rFonts w:ascii="Arial" w:hAnsi="Arial" w:cs="Arial"/>
            <w:noProof/>
            <w:sz w:val="18"/>
          </w:rPr>
          <w:t>5</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1F6" w:rsidRDefault="00AF01F6" w:rsidP="00836F80">
      <w:pPr>
        <w:spacing w:before="0" w:after="0"/>
      </w:pPr>
      <w:r>
        <w:separator/>
      </w:r>
    </w:p>
  </w:footnote>
  <w:footnote w:type="continuationSeparator" w:id="0">
    <w:p w:rsidR="00AF01F6" w:rsidRDefault="00AF01F6"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2FBD1A48"/>
    <w:multiLevelType w:val="hybridMultilevel"/>
    <w:tmpl w:val="1FC64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0053"/>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4DBA"/>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426A"/>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56AE0"/>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2CE3"/>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1F6"/>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07CA9"/>
    <w:rsid w:val="00C106B6"/>
    <w:rsid w:val="00C15FB0"/>
    <w:rsid w:val="00C177BF"/>
    <w:rsid w:val="00C237FF"/>
    <w:rsid w:val="00C240AF"/>
    <w:rsid w:val="00C24B9C"/>
    <w:rsid w:val="00C27AA5"/>
    <w:rsid w:val="00C32689"/>
    <w:rsid w:val="00C32F23"/>
    <w:rsid w:val="00C3646C"/>
    <w:rsid w:val="00C37635"/>
    <w:rsid w:val="00C4072D"/>
    <w:rsid w:val="00C40F42"/>
    <w:rsid w:val="00C4192A"/>
    <w:rsid w:val="00C468B6"/>
    <w:rsid w:val="00C5300C"/>
    <w:rsid w:val="00C61868"/>
    <w:rsid w:val="00C66CD9"/>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0A60"/>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08A6"/>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9</Pages>
  <Words>2586</Words>
  <Characters>15519</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26</cp:revision>
  <dcterms:created xsi:type="dcterms:W3CDTF">2014-04-01T14:02:00Z</dcterms:created>
  <dcterms:modified xsi:type="dcterms:W3CDTF">2020-08-22T15:23:00Z</dcterms:modified>
</cp:coreProperties>
</file>